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1614140068" name="Picture">
</wp:docPr>
                  <a:graphic>
                    <a:graphicData uri="http://schemas.openxmlformats.org/drawingml/2006/picture">
                      <pic:pic>
                        <pic:nvPicPr>
                          <pic:cNvPr id="1614140068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1667624902" name="Picture">
</wp:docPr>
                  <a:graphic>
                    <a:graphicData uri="http://schemas.openxmlformats.org/drawingml/2006/picture">
                      <pic:pic>
                        <pic:nvPicPr>
                          <pic:cNvPr id="1667624902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Продукция косметическая линии « Esteticbox»:, Пенка для умывания. Face Clean foam</w:t>
              <w:br/>
            </w: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31696-2012 «Продукция косметическая гигиеническая моющая. Общие технические условия»</w:t>
              <w:br/>
              <w:t xml:space="preserve">Коды ТН ВЭД ЕАЭС: 3401300000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51101022218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51171022244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Д-RU.РА07.В.69612/22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